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EAFB" w14:textId="438E4975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2DF94339" w14:textId="1633AC99" w:rsidR="0048357D" w:rsidRDefault="0048357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report facility o</w:t>
      </w:r>
      <w:r w:rsidR="00E32CF5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 xml:space="preserve">Tapestry is used to create the report, using the </w:t>
      </w:r>
      <w:r w:rsidR="00E32CF5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EYFS 202</w:t>
      </w:r>
      <w:r w:rsidR="00E32CF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two year</w:t>
      </w:r>
      <w:proofErr w:type="gramEnd"/>
      <w:r>
        <w:rPr>
          <w:rFonts w:ascii="Arial" w:hAnsi="Arial" w:cs="Arial"/>
          <w:sz w:val="22"/>
          <w:szCs w:val="22"/>
        </w:rPr>
        <w:t xml:space="preserve"> check</w:t>
      </w:r>
      <w:r w:rsidR="00E32CF5">
        <w:rPr>
          <w:rFonts w:ascii="Arial" w:hAnsi="Arial" w:cs="Arial"/>
          <w:sz w:val="22"/>
          <w:szCs w:val="22"/>
        </w:rPr>
        <w:t xml:space="preserve">’ </w:t>
      </w:r>
      <w:r>
        <w:rPr>
          <w:rFonts w:ascii="Arial" w:hAnsi="Arial" w:cs="Arial"/>
          <w:sz w:val="22"/>
          <w:szCs w:val="22"/>
        </w:rPr>
        <w:t>template.</w:t>
      </w:r>
    </w:p>
    <w:p w14:paraId="7D244B38" w14:textId="46D329D9" w:rsidR="00161D3D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7E1315FD" w14:textId="0A25C09F" w:rsidR="0048357D" w:rsidRPr="00085A01" w:rsidRDefault="0048357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setting </w:t>
      </w:r>
      <w:r w:rsidR="00532EDF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 xml:space="preserve"> reviews all reports before they are published for parents</w:t>
      </w:r>
    </w:p>
    <w:p w14:paraId="4B4746C3" w14:textId="257849AA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</w:t>
      </w:r>
      <w:r w:rsidR="00675228">
        <w:rPr>
          <w:rFonts w:ascii="Arial" w:hAnsi="Arial" w:cs="Arial"/>
          <w:sz w:val="22"/>
          <w:szCs w:val="22"/>
        </w:rPr>
        <w:t xml:space="preserve"> if possible</w:t>
      </w:r>
      <w:r w:rsidRPr="00085A01">
        <w:rPr>
          <w:rFonts w:ascii="Arial" w:hAnsi="Arial" w:cs="Arial"/>
          <w:sz w:val="22"/>
          <w:szCs w:val="22"/>
        </w:rPr>
        <w:t>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</w:t>
      </w:r>
      <w:r w:rsidR="00D22E83">
        <w:rPr>
          <w:rFonts w:ascii="Arial" w:hAnsi="Arial" w:cs="Arial"/>
          <w:sz w:val="22"/>
          <w:szCs w:val="22"/>
        </w:rPr>
        <w:t xml:space="preserve">½ a </w:t>
      </w:r>
      <w:r w:rsidR="00A94C28" w:rsidRPr="00085A01">
        <w:rPr>
          <w:rFonts w:ascii="Arial" w:hAnsi="Arial" w:cs="Arial"/>
          <w:sz w:val="22"/>
          <w:szCs w:val="22"/>
        </w:rPr>
        <w:t>term before the check is completed</w:t>
      </w:r>
      <w:r w:rsidR="00D22E83">
        <w:rPr>
          <w:rFonts w:ascii="Arial" w:hAnsi="Arial" w:cs="Arial"/>
          <w:sz w:val="22"/>
          <w:szCs w:val="22"/>
        </w:rPr>
        <w:t xml:space="preserve"> and it must be completed within their first term with us.</w:t>
      </w:r>
    </w:p>
    <w:p w14:paraId="34C68F63" w14:textId="77777777" w:rsidR="00675228" w:rsidRDefault="00675228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report is shared with the parents when complete and the key person is available to discuss with the parents.</w:t>
      </w:r>
    </w:p>
    <w:p w14:paraId="3F407863" w14:textId="01CE8CED" w:rsidR="00161D3D" w:rsidRPr="00085A01" w:rsidRDefault="00675228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meeting can be arranged should the parent want this.</w:t>
      </w:r>
    </w:p>
    <w:p w14:paraId="2BC1BF69" w14:textId="77777777" w:rsidR="00F00766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2BDBBE72" w14:textId="694A2B78" w:rsidR="00E32CF5" w:rsidRPr="00085A01" w:rsidRDefault="00E32CF5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families are in receipt of the two year funding for disadvantaged families they will be invited to an integrated review meeting with the </w:t>
      </w:r>
      <w:r w:rsidR="002F411E">
        <w:rPr>
          <w:rFonts w:ascii="Arial" w:hAnsi="Arial" w:cs="Arial"/>
          <w:sz w:val="22"/>
          <w:szCs w:val="22"/>
        </w:rPr>
        <w:t xml:space="preserve">local representation from the Essex Child and Family Well Being </w:t>
      </w:r>
      <w:proofErr w:type="gramStart"/>
      <w:r w:rsidR="002F411E">
        <w:rPr>
          <w:rFonts w:ascii="Arial" w:hAnsi="Arial" w:cs="Arial"/>
          <w:sz w:val="22"/>
          <w:szCs w:val="22"/>
        </w:rPr>
        <w:t>service(</w:t>
      </w:r>
      <w:proofErr w:type="gramEnd"/>
      <w:r w:rsidR="002F411E">
        <w:rPr>
          <w:rFonts w:ascii="Arial" w:hAnsi="Arial" w:cs="Arial"/>
          <w:sz w:val="22"/>
          <w:szCs w:val="22"/>
        </w:rPr>
        <w:t>ECFWS). This meeting will be held at the setting and will be organised by the ECFWS. The setting agrees to having the</w:t>
      </w:r>
      <w:r w:rsidR="00481F47">
        <w:rPr>
          <w:rFonts w:ascii="Arial" w:hAnsi="Arial" w:cs="Arial"/>
          <w:sz w:val="22"/>
          <w:szCs w:val="22"/>
        </w:rPr>
        <w:t>ir</w:t>
      </w:r>
      <w:r w:rsidR="002F41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411E">
        <w:rPr>
          <w:rFonts w:ascii="Arial" w:hAnsi="Arial" w:cs="Arial"/>
          <w:sz w:val="22"/>
          <w:szCs w:val="22"/>
        </w:rPr>
        <w:t>two year</w:t>
      </w:r>
      <w:proofErr w:type="gramEnd"/>
      <w:r w:rsidR="002F411E">
        <w:rPr>
          <w:rFonts w:ascii="Arial" w:hAnsi="Arial" w:cs="Arial"/>
          <w:sz w:val="22"/>
          <w:szCs w:val="22"/>
        </w:rPr>
        <w:t xml:space="preserve"> progress check </w:t>
      </w:r>
      <w:r w:rsidR="00481F47">
        <w:rPr>
          <w:rFonts w:ascii="Arial" w:hAnsi="Arial" w:cs="Arial"/>
          <w:sz w:val="22"/>
          <w:szCs w:val="22"/>
        </w:rPr>
        <w:t xml:space="preserve">report </w:t>
      </w:r>
      <w:r w:rsidR="002F411E">
        <w:rPr>
          <w:rFonts w:ascii="Arial" w:hAnsi="Arial" w:cs="Arial"/>
          <w:sz w:val="22"/>
          <w:szCs w:val="22"/>
        </w:rPr>
        <w:t>completed</w:t>
      </w:r>
      <w:r w:rsidR="00481F47">
        <w:rPr>
          <w:rFonts w:ascii="Arial" w:hAnsi="Arial" w:cs="Arial"/>
          <w:sz w:val="22"/>
          <w:szCs w:val="22"/>
        </w:rPr>
        <w:t xml:space="preserve"> prior to the meeting.</w:t>
      </w:r>
      <w:r w:rsidR="002F411E">
        <w:rPr>
          <w:rFonts w:ascii="Arial" w:hAnsi="Arial" w:cs="Arial"/>
          <w:sz w:val="22"/>
          <w:szCs w:val="22"/>
        </w:rPr>
        <w:t xml:space="preserve">  </w:t>
      </w:r>
      <w:r w:rsidR="00FE2F35">
        <w:rPr>
          <w:rFonts w:ascii="Arial" w:hAnsi="Arial" w:cs="Arial"/>
          <w:sz w:val="22"/>
          <w:szCs w:val="22"/>
        </w:rPr>
        <w:t>The key person should complete form 09.15a Integrated Review Record of Meeting.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 xml:space="preserve">06 Safeguarding children, young people and vulnerable </w:t>
      </w:r>
      <w:proofErr w:type="gramStart"/>
      <w:r w:rsidR="00812254">
        <w:rPr>
          <w:rFonts w:ascii="Arial" w:hAnsi="Arial" w:cs="Arial"/>
          <w:sz w:val="22"/>
          <w:szCs w:val="22"/>
        </w:rPr>
        <w:t>adults</w:t>
      </w:r>
      <w:proofErr w:type="gramEnd"/>
      <w:r w:rsidR="00812254">
        <w:rPr>
          <w:rFonts w:ascii="Arial" w:hAnsi="Arial" w:cs="Arial"/>
          <w:sz w:val="22"/>
          <w:szCs w:val="22"/>
        </w:rPr>
        <w:t xml:space="preserve">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171CF736" w:rsidR="00161D3D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  <w:r w:rsidR="00675228">
        <w:rPr>
          <w:rFonts w:ascii="Arial" w:hAnsi="Arial" w:cs="Arial"/>
          <w:sz w:val="22"/>
          <w:szCs w:val="22"/>
        </w:rPr>
        <w:t xml:space="preserve">. </w:t>
      </w:r>
    </w:p>
    <w:p w14:paraId="5991101D" w14:textId="7DA5F155" w:rsidR="00675228" w:rsidRDefault="00675228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Steps are shared with parents to show where the setting feel the child should progress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next</w:t>
      </w:r>
    </w:p>
    <w:p w14:paraId="00BD5B8E" w14:textId="5A0CA252" w:rsidR="00675228" w:rsidRPr="008B76BE" w:rsidRDefault="00675228" w:rsidP="00675228">
      <w:pPr>
        <w:spacing w:before="120" w:after="120" w:line="360" w:lineRule="auto"/>
        <w:ind w:left="717"/>
        <w:rPr>
          <w:rFonts w:ascii="Arial" w:hAnsi="Arial" w:cs="Arial"/>
          <w:sz w:val="22"/>
          <w:szCs w:val="22"/>
        </w:rPr>
      </w:pPr>
    </w:p>
    <w:sectPr w:rsidR="00675228" w:rsidRPr="008B76BE" w:rsidSect="00FA6A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E37AF" w14:textId="77777777" w:rsidR="00CC183F" w:rsidRDefault="00CC183F" w:rsidP="003C7A9F">
      <w:r>
        <w:separator/>
      </w:r>
    </w:p>
  </w:endnote>
  <w:endnote w:type="continuationSeparator" w:id="0">
    <w:p w14:paraId="268013C0" w14:textId="77777777" w:rsidR="00CC183F" w:rsidRDefault="00CC183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7E77" w14:textId="77777777" w:rsidR="00D45C63" w:rsidRDefault="00D45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D7B0" w14:textId="77777777" w:rsidR="00D45C63" w:rsidRDefault="00D45C63" w:rsidP="00D45C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2D830042" w14:textId="27554627" w:rsidR="003331BD" w:rsidRPr="00EF4F67" w:rsidRDefault="003331BD" w:rsidP="008B76BE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E6EF" w14:textId="77777777" w:rsidR="00D45C63" w:rsidRDefault="00D45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8C55" w14:textId="77777777" w:rsidR="00CC183F" w:rsidRDefault="00CC183F" w:rsidP="003C7A9F">
      <w:r>
        <w:separator/>
      </w:r>
    </w:p>
  </w:footnote>
  <w:footnote w:type="continuationSeparator" w:id="0">
    <w:p w14:paraId="3CAE5240" w14:textId="77777777" w:rsidR="00CC183F" w:rsidRDefault="00CC183F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14F0" w14:textId="77777777" w:rsidR="00D45C63" w:rsidRDefault="00D45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125B" w14:textId="77777777" w:rsidR="00D45C63" w:rsidRDefault="00D45C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82D1" w14:textId="77777777" w:rsidR="00D45C63" w:rsidRDefault="00D45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49B9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11A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2F4F"/>
    <w:rsid w:val="002F411E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1F47"/>
    <w:rsid w:val="0048357D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1B8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2EDF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8C4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77E8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A35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5228"/>
    <w:rsid w:val="006765DF"/>
    <w:rsid w:val="006848DA"/>
    <w:rsid w:val="006906A0"/>
    <w:rsid w:val="00691354"/>
    <w:rsid w:val="00691B4F"/>
    <w:rsid w:val="006962EE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5E8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6E5D"/>
    <w:rsid w:val="00997C9F"/>
    <w:rsid w:val="009A0569"/>
    <w:rsid w:val="009A2FC4"/>
    <w:rsid w:val="009A4450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4FC4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50A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09A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83F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2E83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5C63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2CF5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2F35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36A9E9-669E-4E6D-A829-F31E260C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Maggie Catmull</cp:lastModifiedBy>
  <cp:revision>9</cp:revision>
  <cp:lastPrinted>2018-05-03T18:57:00Z</cp:lastPrinted>
  <dcterms:created xsi:type="dcterms:W3CDTF">2022-10-20T17:38:00Z</dcterms:created>
  <dcterms:modified xsi:type="dcterms:W3CDTF">2024-11-20T09:28:00Z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