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1344" w14:textId="16347E77" w:rsidR="003C6262" w:rsidRPr="00360F76" w:rsidRDefault="003C6262" w:rsidP="00E030DF">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6CD3F00D" w14:textId="695C0305"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7B0C4B">
        <w:rPr>
          <w:rFonts w:ascii="Arial" w:hAnsi="Arial" w:cs="Arial"/>
          <w:b/>
          <w:sz w:val="28"/>
          <w:szCs w:val="28"/>
        </w:rPr>
        <w:t xml:space="preserve">  </w:t>
      </w:r>
      <w:r w:rsidR="00000023" w:rsidRPr="00360F76">
        <w:rPr>
          <w:rFonts w:ascii="Arial" w:hAnsi="Arial" w:cs="Arial"/>
          <w:b/>
          <w:sz w:val="28"/>
          <w:szCs w:val="28"/>
        </w:rPr>
        <w:t>Notifiable incident, non- child protection</w:t>
      </w:r>
    </w:p>
    <w:p w14:paraId="779B897A" w14:textId="6E93290A" w:rsidR="0060575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76EFCF65" w14:textId="3D25EF6D" w:rsidR="00C40DFC" w:rsidRDefault="00752B56" w:rsidP="00E030DF">
      <w:pPr>
        <w:spacing w:before="120" w:after="120" w:line="360" w:lineRule="auto"/>
        <w:rPr>
          <w:rFonts w:ascii="Arial" w:hAnsi="Arial" w:cs="Arial"/>
          <w:iCs/>
          <w:sz w:val="22"/>
          <w:szCs w:val="22"/>
        </w:rPr>
      </w:pPr>
      <w:r>
        <w:rPr>
          <w:rFonts w:ascii="Arial" w:hAnsi="Arial" w:cs="Arial"/>
          <w:iCs/>
          <w:sz w:val="22"/>
          <w:szCs w:val="22"/>
        </w:rPr>
        <w:t xml:space="preserve">Complete </w:t>
      </w:r>
      <w:r w:rsidR="00C40DFC">
        <w:rPr>
          <w:rFonts w:ascii="Arial" w:hAnsi="Arial" w:cs="Arial"/>
          <w:iCs/>
          <w:sz w:val="22"/>
          <w:szCs w:val="22"/>
        </w:rPr>
        <w:t xml:space="preserve">form </w:t>
      </w:r>
      <w:r>
        <w:rPr>
          <w:rFonts w:ascii="Arial" w:hAnsi="Arial" w:cs="Arial"/>
          <w:iCs/>
          <w:sz w:val="22"/>
          <w:szCs w:val="22"/>
        </w:rPr>
        <w:t>1.20</w:t>
      </w:r>
      <w:r w:rsidR="0054192F">
        <w:rPr>
          <w:rFonts w:ascii="Arial" w:hAnsi="Arial" w:cs="Arial"/>
          <w:iCs/>
          <w:sz w:val="22"/>
          <w:szCs w:val="22"/>
        </w:rPr>
        <w:t>a</w:t>
      </w:r>
      <w:r>
        <w:rPr>
          <w:rFonts w:ascii="Arial" w:hAnsi="Arial" w:cs="Arial"/>
          <w:iCs/>
          <w:sz w:val="22"/>
          <w:szCs w:val="22"/>
        </w:rPr>
        <w:t xml:space="preserve"> Template for Setting Incident Record for all notifiable incident</w:t>
      </w:r>
      <w:r w:rsidR="004F7EB0">
        <w:rPr>
          <w:rFonts w:ascii="Arial" w:hAnsi="Arial" w:cs="Arial"/>
          <w:iCs/>
          <w:sz w:val="22"/>
          <w:szCs w:val="22"/>
        </w:rPr>
        <w:t xml:space="preserve">s and form </w:t>
      </w:r>
    </w:p>
    <w:p w14:paraId="1E57DB16" w14:textId="62947598" w:rsidR="004F7EB0" w:rsidRPr="009D0613" w:rsidRDefault="004F7EB0" w:rsidP="00E030DF">
      <w:pPr>
        <w:spacing w:before="120" w:after="120" w:line="360" w:lineRule="auto"/>
        <w:rPr>
          <w:rFonts w:ascii="Arial" w:hAnsi="Arial" w:cs="Arial"/>
          <w:iCs/>
          <w:sz w:val="22"/>
          <w:szCs w:val="22"/>
        </w:rPr>
      </w:pPr>
      <w:r>
        <w:rPr>
          <w:rFonts w:ascii="Arial" w:hAnsi="Arial" w:cs="Arial"/>
          <w:iCs/>
          <w:sz w:val="22"/>
          <w:szCs w:val="22"/>
        </w:rPr>
        <w:t xml:space="preserve">1.20b Recording of significant accidents </w:t>
      </w:r>
      <w:r w:rsidR="002E0F40">
        <w:rPr>
          <w:rFonts w:ascii="Arial" w:hAnsi="Arial" w:cs="Arial"/>
          <w:iCs/>
          <w:sz w:val="22"/>
          <w:szCs w:val="22"/>
        </w:rPr>
        <w:t xml:space="preserve">form </w:t>
      </w:r>
      <w:r>
        <w:rPr>
          <w:rFonts w:ascii="Arial" w:hAnsi="Arial" w:cs="Arial"/>
          <w:iCs/>
          <w:sz w:val="22"/>
          <w:szCs w:val="22"/>
        </w:rPr>
        <w:t>for all notifiable accidents.</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urst pipe, severe leak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parent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53B23287"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25451F4F" w14:textId="11ABEFA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w:t>
      </w:r>
      <w:r w:rsidR="00350A3C">
        <w:rPr>
          <w:rFonts w:ascii="Arial" w:hAnsi="Arial" w:cs="Arial"/>
          <w:sz w:val="22"/>
          <w:szCs w:val="22"/>
        </w:rPr>
        <w:t xml:space="preserve"> arrive</w:t>
      </w:r>
      <w:r w:rsidR="007A70D4">
        <w:rPr>
          <w:rFonts w:ascii="Arial" w:hAnsi="Arial" w:cs="Arial"/>
          <w:sz w:val="22"/>
          <w:szCs w:val="22"/>
        </w:rPr>
        <w:t xml:space="preserve"> 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lastRenderedPageBreak/>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5CE79102" w14:textId="1C8FDA84" w:rsidR="00390436" w:rsidRPr="000041F0" w:rsidRDefault="000041F0" w:rsidP="000041F0">
            <w:pPr>
              <w:pStyle w:val="ListParagraph"/>
              <w:numPr>
                <w:ilvl w:val="0"/>
                <w:numId w:val="72"/>
              </w:numPr>
              <w:spacing w:line="276" w:lineRule="auto"/>
              <w:rPr>
                <w:rFonts w:ascii="Arial" w:hAnsi="Arial" w:cs="Arial"/>
                <w:lang w:val="en-US"/>
              </w:rPr>
            </w:pPr>
            <w:r w:rsidRPr="000041F0">
              <w:rPr>
                <w:rFonts w:ascii="Arial" w:hAnsi="Arial" w:cs="Arial"/>
                <w:bCs/>
                <w:i/>
              </w:rPr>
              <w:t xml:space="preserve">Our usual muster point is in the pre-school however </w:t>
            </w:r>
            <w:r w:rsidRPr="000041F0">
              <w:rPr>
                <w:rFonts w:ascii="Arial" w:hAnsi="Arial" w:cs="Arial"/>
                <w:i/>
                <w:iCs/>
                <w:lang w:val="en-US"/>
              </w:rPr>
              <w:t>should the school need evacuating the children will be taken to a safe contained place in the park (the Football cage in the park) behind the school and parents would be informed to come and collect the children reminding them of the safest place to park, avoiding the school car park.</w:t>
            </w:r>
            <w:r w:rsidRPr="000041F0">
              <w:rPr>
                <w:rFonts w:ascii="Arial" w:hAnsi="Arial" w:cs="Arial"/>
                <w:lang w:val="en-US"/>
              </w:rPr>
              <w:t xml:space="preserve"> </w:t>
            </w:r>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23459D54"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owners/directors/trustees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568A5EC0"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1194BB0E"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owners/trustees/directors</w:t>
      </w:r>
      <w:r w:rsidRPr="00FE4C7B">
        <w:rPr>
          <w:rFonts w:ascii="Arial" w:hAnsi="Arial" w:cs="Arial"/>
          <w:sz w:val="22"/>
          <w:szCs w:val="22"/>
        </w:rPr>
        <w:t>.</w:t>
      </w:r>
    </w:p>
    <w:p w14:paraId="738B711A" w14:textId="77777777"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6884259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sidR="005D0BBD">
        <w:rPr>
          <w:rFonts w:ascii="Arial" w:hAnsi="Arial" w:cs="Arial"/>
          <w:sz w:val="22"/>
          <w:szCs w:val="22"/>
        </w:rPr>
        <w:t>owners/trustees/directors are</w:t>
      </w:r>
      <w:r w:rsidRPr="00FE4C7B">
        <w:rPr>
          <w:rFonts w:ascii="Arial" w:hAnsi="Arial" w:cs="Arial"/>
          <w:sz w:val="22"/>
          <w:szCs w:val="22"/>
        </w:rPr>
        <w:t xml:space="preserve"> informed. </w:t>
      </w:r>
    </w:p>
    <w:p w14:paraId="3F2064DC" w14:textId="5F1CC144"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w:t>
      </w:r>
      <w:r w:rsidR="00007EBF">
        <w:rPr>
          <w:rFonts w:ascii="Arial" w:hAnsi="Arial" w:cs="Arial"/>
          <w:sz w:val="22"/>
          <w:szCs w:val="22"/>
        </w:rPr>
        <w:t xml:space="preserve">setting </w:t>
      </w:r>
      <w:r w:rsidRPr="00FE4C7B">
        <w:rPr>
          <w:rFonts w:ascii="Arial" w:hAnsi="Arial" w:cs="Arial"/>
          <w:sz w:val="22"/>
          <w:szCs w:val="22"/>
        </w:rPr>
        <w:t xml:space="preserve">manager completes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owners/trustees/directors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lastRenderedPageBreak/>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1"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(t</w:t>
      </w:r>
      <w:r w:rsidRPr="00FE4C7B">
        <w:rPr>
          <w:rFonts w:ascii="Arial" w:hAnsi="Arial" w:cs="Arial"/>
          <w:color w:val="000000"/>
          <w:sz w:val="22"/>
          <w:szCs w:val="22"/>
        </w:rPr>
        <w:t>hese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35B64107"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 xml:space="preserve">setting </w:t>
      </w:r>
      <w:r w:rsidRPr="006A04E6">
        <w:rPr>
          <w:rFonts w:ascii="Arial" w:hAnsi="Arial" w:cs="Arial"/>
          <w:color w:val="000000"/>
          <w:sz w:val="22"/>
          <w:szCs w:val="22"/>
        </w:rPr>
        <w:t>manager informs the</w:t>
      </w:r>
      <w:r w:rsidR="006077CC" w:rsidRPr="006A04E6">
        <w:rPr>
          <w:rFonts w:ascii="Arial" w:hAnsi="Arial" w:cs="Arial"/>
          <w:color w:val="000000"/>
          <w:sz w:val="22"/>
          <w:szCs w:val="22"/>
        </w:rPr>
        <w:t xml:space="preserve"> owners/trustees/directors</w:t>
      </w:r>
      <w:r w:rsidRPr="006A04E6">
        <w:rPr>
          <w:rFonts w:ascii="Arial" w:hAnsi="Arial" w:cs="Arial"/>
          <w:color w:val="000000"/>
          <w:sz w:val="22"/>
          <w:szCs w:val="22"/>
        </w:rPr>
        <w:t xml:space="preserve"> and completes </w:t>
      </w:r>
      <w:r w:rsidR="00405B47">
        <w:rPr>
          <w:rFonts w:ascii="Arial" w:hAnsi="Arial" w:cs="Arial"/>
          <w:color w:val="000000"/>
          <w:sz w:val="22"/>
          <w:szCs w:val="22"/>
        </w:rPr>
        <w:t>form1.20</w:t>
      </w:r>
      <w:r w:rsidR="003F5E63">
        <w:rPr>
          <w:rFonts w:ascii="Arial" w:hAnsi="Arial" w:cs="Arial"/>
          <w:color w:val="000000"/>
          <w:sz w:val="22"/>
          <w:szCs w:val="22"/>
        </w:rPr>
        <w:t xml:space="preserve">b Recording of Significant Accident </w:t>
      </w:r>
      <w:r w:rsidR="00405B47">
        <w:rPr>
          <w:rFonts w:ascii="Arial" w:hAnsi="Arial" w:cs="Arial"/>
          <w:color w:val="000000"/>
          <w:sz w:val="22"/>
          <w:szCs w:val="22"/>
        </w:rPr>
        <w:t xml:space="preserve">Record </w:t>
      </w:r>
      <w:r w:rsidRPr="006A04E6">
        <w:rPr>
          <w:rFonts w:ascii="Arial" w:hAnsi="Arial" w:cs="Arial"/>
          <w:color w:val="000000"/>
          <w:sz w:val="22"/>
          <w:szCs w:val="22"/>
        </w:rPr>
        <w:t xml:space="preserve">and/or </w:t>
      </w:r>
      <w:r w:rsidR="00405B47">
        <w:rPr>
          <w:rFonts w:ascii="Arial" w:hAnsi="Arial" w:cs="Arial"/>
          <w:color w:val="000000"/>
          <w:sz w:val="22"/>
          <w:szCs w:val="22"/>
        </w:rPr>
        <w:t>1.20</w:t>
      </w:r>
      <w:r w:rsidR="003F5E63">
        <w:rPr>
          <w:rFonts w:ascii="Arial" w:hAnsi="Arial" w:cs="Arial"/>
          <w:color w:val="000000"/>
          <w:sz w:val="22"/>
          <w:szCs w:val="22"/>
        </w:rPr>
        <w:t>a</w:t>
      </w:r>
      <w:r w:rsidR="00405B47">
        <w:rPr>
          <w:rFonts w:ascii="Arial" w:hAnsi="Arial" w:cs="Arial"/>
          <w:color w:val="000000"/>
          <w:sz w:val="22"/>
          <w:szCs w:val="22"/>
        </w:rPr>
        <w:t xml:space="preserve"> Templated for setting </w:t>
      </w:r>
      <w:r w:rsidRPr="006A04E6">
        <w:rPr>
          <w:rFonts w:ascii="Arial" w:hAnsi="Arial" w:cs="Arial"/>
          <w:color w:val="000000"/>
          <w:sz w:val="22"/>
          <w:szCs w:val="22"/>
        </w:rPr>
        <w:t xml:space="preserve">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02615BDA"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2"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F581DC4"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 xml:space="preserve">The </w:t>
      </w:r>
      <w:r w:rsidR="005E1AD3">
        <w:rPr>
          <w:rFonts w:ascii="Arial" w:hAnsi="Arial" w:cs="Arial"/>
          <w:color w:val="000000"/>
          <w:sz w:val="22"/>
          <w:szCs w:val="22"/>
        </w:rPr>
        <w:t>owners/trustees/directors</w:t>
      </w:r>
      <w:r w:rsidRPr="00FE4C7B">
        <w:rPr>
          <w:rFonts w:ascii="Arial" w:hAnsi="Arial" w:cs="Arial"/>
          <w:color w:val="000000"/>
          <w:sz w:val="22"/>
          <w:szCs w:val="22"/>
        </w:rPr>
        <w:t xml:space="preserve"> review how the situation was managed, as above, to ensure that investigations were rigorous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lastRenderedPageBreak/>
        <w:t>i</w:t>
      </w:r>
      <w:r w:rsidR="00000023" w:rsidRPr="00FE4C7B">
        <w:rPr>
          <w:rFonts w:ascii="Arial" w:hAnsi="Arial" w:cs="Arial"/>
          <w:color w:val="000000"/>
          <w:sz w:val="22"/>
          <w:szCs w:val="22"/>
        </w:rPr>
        <w:t xml:space="preserve">f broken or faulty equipment is involved, it must not be repaired, destroyed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7F7ABA4E"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 xml:space="preserve">he setting manager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F5CD9ED" w14:textId="2CD388CA" w:rsidR="00783C37" w:rsidRPr="0078077E" w:rsidRDefault="002F6C70" w:rsidP="0052161C">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p w14:paraId="6D121C8E" w14:textId="77777777" w:rsidR="0078077E" w:rsidRDefault="0078077E" w:rsidP="0078077E">
      <w:pPr>
        <w:spacing w:before="120" w:after="120" w:line="360" w:lineRule="auto"/>
        <w:rPr>
          <w:rFonts w:ascii="Arial" w:hAnsi="Arial" w:cs="Arial"/>
          <w:bCs/>
          <w:sz w:val="22"/>
          <w:szCs w:val="22"/>
        </w:rPr>
      </w:pPr>
    </w:p>
    <w:p w14:paraId="019F67D3" w14:textId="6B7CACCB" w:rsidR="0078077E" w:rsidRDefault="0078077E" w:rsidP="0078077E">
      <w:pPr>
        <w:spacing w:before="120" w:after="120" w:line="360" w:lineRule="auto"/>
        <w:rPr>
          <w:rFonts w:ascii="Arial" w:hAnsi="Arial" w:cs="Arial"/>
          <w:bCs/>
          <w:sz w:val="22"/>
          <w:szCs w:val="22"/>
        </w:rPr>
      </w:pPr>
      <w:r>
        <w:rPr>
          <w:rFonts w:ascii="Arial" w:hAnsi="Arial" w:cs="Arial"/>
          <w:bCs/>
          <w:sz w:val="22"/>
          <w:szCs w:val="22"/>
        </w:rPr>
        <w:t>Further Information</w:t>
      </w:r>
    </w:p>
    <w:p w14:paraId="2D3FC37A" w14:textId="0AA3993E" w:rsidR="0078077E" w:rsidRPr="0078077E" w:rsidRDefault="0078077E" w:rsidP="0078077E">
      <w:pPr>
        <w:spacing w:before="120" w:after="120" w:line="360" w:lineRule="auto"/>
        <w:rPr>
          <w:rFonts w:ascii="Arial" w:hAnsi="Arial" w:cs="Arial"/>
          <w:bCs/>
          <w:sz w:val="22"/>
          <w:szCs w:val="22"/>
        </w:rPr>
      </w:pPr>
      <w:hyperlink r:id="rId13" w:history="1">
        <w:r w:rsidRPr="003E3174">
          <w:rPr>
            <w:rStyle w:val="Hyperlink"/>
            <w:rFonts w:ascii="Arial" w:hAnsi="Arial" w:cs="Arial"/>
            <w:sz w:val="22"/>
            <w:szCs w:val="22"/>
          </w:rPr>
          <w:t>https://www.gov.uk/government/publications/health-protection-in-schools-and-other-childcare-facilities/children-and-young-people-settings-tools-and-resources</w:t>
        </w:r>
      </w:hyperlink>
      <w:r>
        <w:rPr>
          <w:rFonts w:ascii="Arial" w:hAnsi="Arial" w:cs="Arial"/>
          <w:sz w:val="22"/>
          <w:szCs w:val="22"/>
        </w:rPr>
        <w:t xml:space="preserve"> - Exclusion Table for Childhood Diseases and a list of notifiable diseases</w:t>
      </w:r>
    </w:p>
    <w:sectPr w:rsidR="0078077E" w:rsidRPr="0078077E" w:rsidSect="00192A0B">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80B6" w14:textId="77777777" w:rsidR="00DE53AB" w:rsidRDefault="00DE53AB">
      <w:r>
        <w:separator/>
      </w:r>
    </w:p>
  </w:endnote>
  <w:endnote w:type="continuationSeparator" w:id="0">
    <w:p w14:paraId="3437CC32" w14:textId="77777777" w:rsidR="00DE53AB" w:rsidRDefault="00DE53AB">
      <w:r>
        <w:continuationSeparator/>
      </w:r>
    </w:p>
  </w:endnote>
  <w:endnote w:type="continuationNotice" w:id="1">
    <w:p w14:paraId="58938293" w14:textId="77777777" w:rsidR="00DE53AB" w:rsidRDefault="00DE5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D69E" w14:textId="77777777" w:rsidR="007B7487" w:rsidRDefault="007B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83C0" w14:textId="77777777" w:rsidR="007B7487" w:rsidRDefault="007B7487" w:rsidP="007B7487">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56D6B833" w14:textId="219DC5F5" w:rsidR="00D675A1" w:rsidRPr="00A45B9B" w:rsidRDefault="00D675A1" w:rsidP="00D675A1">
    <w:pPr>
      <w:tabs>
        <w:tab w:val="center" w:pos="4513"/>
        <w:tab w:val="right" w:pos="9026"/>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2E36" w14:textId="77777777" w:rsidR="007B7487" w:rsidRDefault="007B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15521" w14:textId="77777777" w:rsidR="00DE53AB" w:rsidRDefault="00DE53AB">
      <w:r>
        <w:separator/>
      </w:r>
    </w:p>
  </w:footnote>
  <w:footnote w:type="continuationSeparator" w:id="0">
    <w:p w14:paraId="572CB01E" w14:textId="77777777" w:rsidR="00DE53AB" w:rsidRDefault="00DE53AB">
      <w:r>
        <w:continuationSeparator/>
      </w:r>
    </w:p>
  </w:footnote>
  <w:footnote w:type="continuationNotice" w:id="1">
    <w:p w14:paraId="43A06B6D" w14:textId="77777777" w:rsidR="00DE53AB" w:rsidRDefault="00DE5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3206" w14:textId="77777777" w:rsidR="007B7487" w:rsidRDefault="007B7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A726" w14:textId="77777777" w:rsidR="007B7487" w:rsidRDefault="007B7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2E55" w14:textId="77777777" w:rsidR="007B7487" w:rsidRDefault="007B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986131"/>
    <w:multiLevelType w:val="hybridMultilevel"/>
    <w:tmpl w:val="B29A3A7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967278">
    <w:abstractNumId w:val="64"/>
  </w:num>
  <w:num w:numId="2" w16cid:durableId="2031301230">
    <w:abstractNumId w:val="0"/>
  </w:num>
  <w:num w:numId="3" w16cid:durableId="361322938">
    <w:abstractNumId w:val="30"/>
  </w:num>
  <w:num w:numId="4" w16cid:durableId="1009066748">
    <w:abstractNumId w:val="5"/>
  </w:num>
  <w:num w:numId="5" w16cid:durableId="1683823296">
    <w:abstractNumId w:val="1"/>
  </w:num>
  <w:num w:numId="6" w16cid:durableId="631130247">
    <w:abstractNumId w:val="25"/>
  </w:num>
  <w:num w:numId="7" w16cid:durableId="435029801">
    <w:abstractNumId w:val="33"/>
  </w:num>
  <w:num w:numId="8" w16cid:durableId="827943771">
    <w:abstractNumId w:val="22"/>
  </w:num>
  <w:num w:numId="9" w16cid:durableId="2040429844">
    <w:abstractNumId w:val="62"/>
  </w:num>
  <w:num w:numId="10" w16cid:durableId="1617983377">
    <w:abstractNumId w:val="49"/>
  </w:num>
  <w:num w:numId="11" w16cid:durableId="255020212">
    <w:abstractNumId w:val="46"/>
  </w:num>
  <w:num w:numId="12" w16cid:durableId="681931155">
    <w:abstractNumId w:val="3"/>
  </w:num>
  <w:num w:numId="13" w16cid:durableId="34283294">
    <w:abstractNumId w:val="59"/>
  </w:num>
  <w:num w:numId="14" w16cid:durableId="49966839">
    <w:abstractNumId w:val="67"/>
  </w:num>
  <w:num w:numId="15" w16cid:durableId="1325432806">
    <w:abstractNumId w:val="53"/>
  </w:num>
  <w:num w:numId="16" w16cid:durableId="1588420312">
    <w:abstractNumId w:val="69"/>
  </w:num>
  <w:num w:numId="17" w16cid:durableId="2011367856">
    <w:abstractNumId w:val="61"/>
  </w:num>
  <w:num w:numId="18" w16cid:durableId="2025553509">
    <w:abstractNumId w:val="7"/>
  </w:num>
  <w:num w:numId="19" w16cid:durableId="1400904643">
    <w:abstractNumId w:val="34"/>
  </w:num>
  <w:num w:numId="20" w16cid:durableId="1944267191">
    <w:abstractNumId w:val="14"/>
  </w:num>
  <w:num w:numId="21" w16cid:durableId="146939732">
    <w:abstractNumId w:val="26"/>
  </w:num>
  <w:num w:numId="22" w16cid:durableId="1246843531">
    <w:abstractNumId w:val="42"/>
  </w:num>
  <w:num w:numId="23" w16cid:durableId="300575416">
    <w:abstractNumId w:val="56"/>
  </w:num>
  <w:num w:numId="24" w16cid:durableId="1438410736">
    <w:abstractNumId w:val="54"/>
  </w:num>
  <w:num w:numId="25" w16cid:durableId="1006245001">
    <w:abstractNumId w:val="45"/>
  </w:num>
  <w:num w:numId="26" w16cid:durableId="1844664522">
    <w:abstractNumId w:val="20"/>
  </w:num>
  <w:num w:numId="27" w16cid:durableId="535504071">
    <w:abstractNumId w:val="60"/>
  </w:num>
  <w:num w:numId="28" w16cid:durableId="812333861">
    <w:abstractNumId w:val="37"/>
  </w:num>
  <w:num w:numId="29" w16cid:durableId="232400819">
    <w:abstractNumId w:val="47"/>
  </w:num>
  <w:num w:numId="30" w16cid:durableId="1204249628">
    <w:abstractNumId w:val="66"/>
  </w:num>
  <w:num w:numId="31" w16cid:durableId="790396647">
    <w:abstractNumId w:val="2"/>
  </w:num>
  <w:num w:numId="32" w16cid:durableId="1545217478">
    <w:abstractNumId w:val="10"/>
  </w:num>
  <w:num w:numId="33" w16cid:durableId="1943683062">
    <w:abstractNumId w:val="39"/>
  </w:num>
  <w:num w:numId="34" w16cid:durableId="1428690883">
    <w:abstractNumId w:val="21"/>
  </w:num>
  <w:num w:numId="35" w16cid:durableId="1597250099">
    <w:abstractNumId w:val="16"/>
  </w:num>
  <w:num w:numId="36" w16cid:durableId="375395740">
    <w:abstractNumId w:val="13"/>
  </w:num>
  <w:num w:numId="37" w16cid:durableId="922490575">
    <w:abstractNumId w:val="57"/>
  </w:num>
  <w:num w:numId="38" w16cid:durableId="1878392859">
    <w:abstractNumId w:val="38"/>
  </w:num>
  <w:num w:numId="39" w16cid:durableId="1399210482">
    <w:abstractNumId w:val="58"/>
  </w:num>
  <w:num w:numId="40" w16cid:durableId="1413357341">
    <w:abstractNumId w:val="28"/>
  </w:num>
  <w:num w:numId="41" w16cid:durableId="1518692065">
    <w:abstractNumId w:val="32"/>
  </w:num>
  <w:num w:numId="42" w16cid:durableId="631666607">
    <w:abstractNumId w:val="24"/>
  </w:num>
  <w:num w:numId="43" w16cid:durableId="1289892578">
    <w:abstractNumId w:val="68"/>
  </w:num>
  <w:num w:numId="44" w16cid:durableId="844170734">
    <w:abstractNumId w:val="15"/>
  </w:num>
  <w:num w:numId="45" w16cid:durableId="1911574751">
    <w:abstractNumId w:val="4"/>
  </w:num>
  <w:num w:numId="46" w16cid:durableId="1093998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28117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3806697">
    <w:abstractNumId w:val="18"/>
  </w:num>
  <w:num w:numId="49" w16cid:durableId="861281145">
    <w:abstractNumId w:val="19"/>
  </w:num>
  <w:num w:numId="50" w16cid:durableId="71285234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10808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295311">
    <w:abstractNumId w:val="70"/>
  </w:num>
  <w:num w:numId="53" w16cid:durableId="424423714">
    <w:abstractNumId w:val="48"/>
  </w:num>
  <w:num w:numId="54" w16cid:durableId="1700355697">
    <w:abstractNumId w:val="50"/>
  </w:num>
  <w:num w:numId="55" w16cid:durableId="1274167639">
    <w:abstractNumId w:val="65"/>
  </w:num>
  <w:num w:numId="56" w16cid:durableId="1025056547">
    <w:abstractNumId w:val="43"/>
  </w:num>
  <w:num w:numId="57" w16cid:durableId="1696273998">
    <w:abstractNumId w:val="6"/>
  </w:num>
  <w:num w:numId="58" w16cid:durableId="1214465457">
    <w:abstractNumId w:val="41"/>
  </w:num>
  <w:num w:numId="59" w16cid:durableId="1629238276">
    <w:abstractNumId w:val="17"/>
  </w:num>
  <w:num w:numId="60" w16cid:durableId="457727113">
    <w:abstractNumId w:val="29"/>
  </w:num>
  <w:num w:numId="61" w16cid:durableId="329407993">
    <w:abstractNumId w:val="36"/>
  </w:num>
  <w:num w:numId="62" w16cid:durableId="1437366752">
    <w:abstractNumId w:val="12"/>
  </w:num>
  <w:num w:numId="63" w16cid:durableId="308829975">
    <w:abstractNumId w:val="44"/>
  </w:num>
  <w:num w:numId="64" w16cid:durableId="1652051958">
    <w:abstractNumId w:val="8"/>
  </w:num>
  <w:num w:numId="65" w16cid:durableId="2057006261">
    <w:abstractNumId w:val="52"/>
  </w:num>
  <w:num w:numId="66" w16cid:durableId="1753508082">
    <w:abstractNumId w:val="31"/>
  </w:num>
  <w:num w:numId="67" w16cid:durableId="407315331">
    <w:abstractNumId w:val="9"/>
  </w:num>
  <w:num w:numId="68" w16cid:durableId="105543385">
    <w:abstractNumId w:val="35"/>
  </w:num>
  <w:num w:numId="69" w16cid:durableId="285820376">
    <w:abstractNumId w:val="63"/>
  </w:num>
  <w:num w:numId="70" w16cid:durableId="779298238">
    <w:abstractNumId w:val="40"/>
  </w:num>
  <w:num w:numId="71" w16cid:durableId="1393314661">
    <w:abstractNumId w:val="11"/>
  </w:num>
  <w:num w:numId="72" w16cid:durableId="478808725">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41F0"/>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E0F40"/>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5E63"/>
    <w:rsid w:val="003F6EA9"/>
    <w:rsid w:val="00403284"/>
    <w:rsid w:val="0040529E"/>
    <w:rsid w:val="00405B47"/>
    <w:rsid w:val="00407642"/>
    <w:rsid w:val="004143EE"/>
    <w:rsid w:val="004149AF"/>
    <w:rsid w:val="00414DE0"/>
    <w:rsid w:val="00415461"/>
    <w:rsid w:val="00417ABB"/>
    <w:rsid w:val="00420092"/>
    <w:rsid w:val="00425291"/>
    <w:rsid w:val="004308BA"/>
    <w:rsid w:val="00430A69"/>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4F7EB0"/>
    <w:rsid w:val="00502BD6"/>
    <w:rsid w:val="00503155"/>
    <w:rsid w:val="005046A3"/>
    <w:rsid w:val="00513F4B"/>
    <w:rsid w:val="00514F6B"/>
    <w:rsid w:val="00515602"/>
    <w:rsid w:val="00531491"/>
    <w:rsid w:val="00536BEB"/>
    <w:rsid w:val="005408E6"/>
    <w:rsid w:val="0054192F"/>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3710"/>
    <w:rsid w:val="005D4D39"/>
    <w:rsid w:val="005D5402"/>
    <w:rsid w:val="005D708D"/>
    <w:rsid w:val="005E1AD3"/>
    <w:rsid w:val="005E3F16"/>
    <w:rsid w:val="005E3FFF"/>
    <w:rsid w:val="005F4850"/>
    <w:rsid w:val="005F50A5"/>
    <w:rsid w:val="005F566A"/>
    <w:rsid w:val="005F62CF"/>
    <w:rsid w:val="005F77E8"/>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B56"/>
    <w:rsid w:val="00752C4E"/>
    <w:rsid w:val="00753F6B"/>
    <w:rsid w:val="0075687D"/>
    <w:rsid w:val="007612ED"/>
    <w:rsid w:val="00763A0D"/>
    <w:rsid w:val="00764C84"/>
    <w:rsid w:val="00771A94"/>
    <w:rsid w:val="00771FB6"/>
    <w:rsid w:val="0077291D"/>
    <w:rsid w:val="00772B2B"/>
    <w:rsid w:val="0078077E"/>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0C4B"/>
    <w:rsid w:val="007B2808"/>
    <w:rsid w:val="007B3EE1"/>
    <w:rsid w:val="007B3F70"/>
    <w:rsid w:val="007B7487"/>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5B9B"/>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013E"/>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0DFC"/>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5A1"/>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E53AB"/>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D7578"/>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99"/>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22387641">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protection-in-schools-and-other-childcare-facilities/children-and-young-people-settings-tools-and-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se.gov.uk/riddor/report.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5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27C692A8-201B-46E7-9C71-9743B3B12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9</cp:revision>
  <cp:lastPrinted>2018-05-03T11:09:00Z</cp:lastPrinted>
  <dcterms:created xsi:type="dcterms:W3CDTF">2022-10-20T17:09:00Z</dcterms:created>
  <dcterms:modified xsi:type="dcterms:W3CDTF">2024-11-20T08:54:00Z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